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8B35" w14:textId="1DCD048D" w:rsidR="00F472D8" w:rsidRPr="006C5FA5" w:rsidRDefault="009741AB" w:rsidP="006C5FA5">
      <w:pPr>
        <w:pStyle w:val="Default"/>
        <w:rPr>
          <w:rFonts w:asciiTheme="minorHAnsi" w:hAnsiTheme="minorHAnsi" w:cstheme="minorHAnsi"/>
          <w:b/>
          <w:color w:val="4F81BD"/>
          <w:lang w:val="en-GB"/>
        </w:rPr>
      </w:pPr>
      <w:bookmarkStart w:id="0" w:name="_Hlk201829111"/>
      <w:bookmarkEnd w:id="0"/>
      <w:r w:rsidRPr="00730128">
        <w:rPr>
          <w:rFonts w:asciiTheme="minorHAnsi" w:hAnsiTheme="minorHAnsi" w:cstheme="minorHAnsi"/>
          <w:b/>
          <w:color w:val="4F81BD"/>
          <w:lang w:val="en-GB"/>
        </w:rPr>
        <w:t>PRESS RELEASE</w:t>
      </w:r>
    </w:p>
    <w:p w14:paraId="3D0854B1" w14:textId="7DA9E76D" w:rsidR="00F472D8" w:rsidRDefault="00F472D8" w:rsidP="0077290D">
      <w:pPr>
        <w:jc w:val="center"/>
        <w:rPr>
          <w:rFonts w:ascii="Calibri" w:eastAsia="Times New Roman" w:hAnsi="Calibri" w:cs="Candara"/>
          <w:b/>
          <w:bCs/>
          <w:color w:val="A50021"/>
          <w:sz w:val="28"/>
          <w:szCs w:val="28"/>
          <w:lang w:val="en-GB" w:eastAsia="fr-BE"/>
        </w:rPr>
      </w:pPr>
    </w:p>
    <w:p w14:paraId="3B1D9067" w14:textId="77777777" w:rsidR="003222C0" w:rsidRDefault="00C90826" w:rsidP="003222C0">
      <w:pPr>
        <w:jc w:val="center"/>
        <w:rPr>
          <w:rFonts w:ascii="Calibri" w:eastAsia="Times New Roman" w:hAnsi="Calibri" w:cs="Candara"/>
          <w:b/>
          <w:bCs/>
          <w:color w:val="A50021"/>
          <w:sz w:val="28"/>
          <w:szCs w:val="28"/>
          <w:lang w:eastAsia="fr-BE"/>
        </w:rPr>
      </w:pPr>
      <w:r>
        <w:rPr>
          <w:rFonts w:ascii="Calibri" w:eastAsia="Times New Roman" w:hAnsi="Calibri" w:cs="Candara"/>
          <w:b/>
          <w:bCs/>
          <w:color w:val="A50021"/>
          <w:sz w:val="28"/>
          <w:szCs w:val="28"/>
          <w:lang w:eastAsia="fr-BE"/>
        </w:rPr>
        <w:t xml:space="preserve">Conclusion of the EU-Australia free trade agreement negotiations – </w:t>
      </w:r>
    </w:p>
    <w:p w14:paraId="0E0B368B" w14:textId="4668BCBE" w:rsidR="00B90D7F" w:rsidRDefault="00C90826" w:rsidP="00B90D7F">
      <w:pPr>
        <w:spacing w:after="240"/>
        <w:jc w:val="center"/>
        <w:rPr>
          <w:rFonts w:ascii="Calibri" w:eastAsia="Times New Roman" w:hAnsi="Calibri" w:cs="Candara"/>
          <w:b/>
          <w:bCs/>
          <w:color w:val="A50021"/>
          <w:sz w:val="28"/>
          <w:szCs w:val="28"/>
          <w:lang w:val="en-GB" w:eastAsia="fr-BE"/>
        </w:rPr>
      </w:pPr>
      <w:r>
        <w:rPr>
          <w:rFonts w:ascii="Calibri" w:eastAsia="Times New Roman" w:hAnsi="Calibri" w:cs="Candara"/>
          <w:b/>
          <w:bCs/>
          <w:color w:val="A50021"/>
          <w:sz w:val="28"/>
          <w:szCs w:val="28"/>
          <w:lang w:eastAsia="fr-BE"/>
        </w:rPr>
        <w:t xml:space="preserve">Another </w:t>
      </w:r>
      <w:r w:rsidR="003222C0">
        <w:rPr>
          <w:rFonts w:ascii="Calibri" w:eastAsia="Times New Roman" w:hAnsi="Calibri" w:cs="Candara"/>
          <w:b/>
          <w:bCs/>
          <w:color w:val="A50021"/>
          <w:sz w:val="28"/>
          <w:szCs w:val="28"/>
          <w:lang w:eastAsia="fr-BE"/>
        </w:rPr>
        <w:t xml:space="preserve">positive </w:t>
      </w:r>
      <w:r>
        <w:rPr>
          <w:rFonts w:ascii="Calibri" w:eastAsia="Times New Roman" w:hAnsi="Calibri" w:cs="Candara"/>
          <w:b/>
          <w:bCs/>
          <w:color w:val="A50021"/>
          <w:sz w:val="28"/>
          <w:szCs w:val="28"/>
          <w:lang w:eastAsia="fr-BE"/>
        </w:rPr>
        <w:t xml:space="preserve">step in the EU (wine) Trade strategy </w:t>
      </w:r>
      <w:r w:rsidR="003B0072" w:rsidRPr="003B0072">
        <w:rPr>
          <w:rFonts w:ascii="Calibri" w:eastAsia="Times New Roman" w:hAnsi="Calibri" w:cs="Candara"/>
          <w:b/>
          <w:bCs/>
          <w:color w:val="A50021"/>
          <w:sz w:val="28"/>
          <w:szCs w:val="28"/>
          <w:lang w:eastAsia="fr-BE"/>
        </w:rPr>
        <w:t xml:space="preserve"> </w:t>
      </w:r>
    </w:p>
    <w:p w14:paraId="02612B25" w14:textId="6A62C9F1" w:rsidR="002E25A3" w:rsidRPr="002E25A3" w:rsidRDefault="00B90D7F" w:rsidP="008D0EF1">
      <w:pPr>
        <w:spacing w:after="120"/>
        <w:jc w:val="both"/>
        <w:rPr>
          <w:rFonts w:ascii="Calibri" w:hAnsi="Calibri" w:cs="Calibri"/>
          <w:lang w:val="en-GB"/>
        </w:rPr>
      </w:pPr>
      <w:r w:rsidRPr="002B376B">
        <w:rPr>
          <w:rFonts w:ascii="Calibri" w:hAnsi="Calibri" w:cs="Calibri"/>
          <w:b/>
          <w:bCs/>
          <w:lang w:val="en-GB"/>
        </w:rPr>
        <w:t xml:space="preserve">Brussels, </w:t>
      </w:r>
      <w:r w:rsidR="00B23BD9">
        <w:rPr>
          <w:rFonts w:ascii="Calibri" w:hAnsi="Calibri" w:cs="Calibri"/>
          <w:b/>
          <w:bCs/>
          <w:lang w:val="en-GB"/>
        </w:rPr>
        <w:t>2</w:t>
      </w:r>
      <w:r w:rsidR="00C90826">
        <w:rPr>
          <w:rFonts w:ascii="Calibri" w:hAnsi="Calibri" w:cs="Calibri"/>
          <w:b/>
          <w:bCs/>
          <w:lang w:val="en-GB"/>
        </w:rPr>
        <w:t>4</w:t>
      </w:r>
      <w:r w:rsidRPr="002B376B">
        <w:rPr>
          <w:rFonts w:ascii="Calibri" w:hAnsi="Calibri" w:cs="Calibri"/>
          <w:b/>
          <w:bCs/>
          <w:lang w:val="en-GB"/>
        </w:rPr>
        <w:t xml:space="preserve"> </w:t>
      </w:r>
      <w:r w:rsidR="00B23BD9">
        <w:rPr>
          <w:rFonts w:ascii="Calibri" w:hAnsi="Calibri" w:cs="Calibri"/>
          <w:b/>
          <w:bCs/>
          <w:lang w:val="en-GB"/>
        </w:rPr>
        <w:t>March</w:t>
      </w:r>
      <w:r w:rsidRPr="002B376B">
        <w:rPr>
          <w:rFonts w:ascii="Calibri" w:hAnsi="Calibri" w:cs="Calibri"/>
          <w:b/>
          <w:bCs/>
          <w:lang w:val="en-GB"/>
        </w:rPr>
        <w:t xml:space="preserve"> 2026 –</w:t>
      </w:r>
      <w:r w:rsidR="00C326E9">
        <w:rPr>
          <w:rFonts w:ascii="Calibri" w:hAnsi="Calibri" w:cs="Calibri"/>
          <w:b/>
          <w:bCs/>
          <w:lang w:val="en-GB"/>
        </w:rPr>
        <w:t xml:space="preserve"> </w:t>
      </w:r>
      <w:r w:rsidR="00C326E9" w:rsidRPr="00C326E9">
        <w:rPr>
          <w:rFonts w:ascii="Calibri" w:hAnsi="Calibri" w:cs="Calibri"/>
        </w:rPr>
        <w:t>The European Committee of Wine Companies (CEEV) welcome</w:t>
      </w:r>
      <w:r w:rsidR="00C326E9">
        <w:rPr>
          <w:rFonts w:ascii="Calibri" w:hAnsi="Calibri" w:cs="Calibri"/>
        </w:rPr>
        <w:t>s</w:t>
      </w:r>
      <w:r w:rsidR="00C326E9" w:rsidRPr="00C326E9">
        <w:rPr>
          <w:rFonts w:ascii="Calibri" w:hAnsi="Calibri" w:cs="Calibri"/>
        </w:rPr>
        <w:t xml:space="preserve"> the conclusion of negotiations on a free trade agreement (FTA) between the EU and Australia</w:t>
      </w:r>
      <w:r w:rsidR="002E25A3" w:rsidRPr="002E25A3">
        <w:rPr>
          <w:rFonts w:ascii="Calibri" w:hAnsi="Calibri" w:cs="Calibri"/>
        </w:rPr>
        <w:t>.</w:t>
      </w:r>
      <w:r w:rsidR="00C326E9">
        <w:rPr>
          <w:rFonts w:ascii="Calibri" w:hAnsi="Calibri" w:cs="Calibri"/>
        </w:rPr>
        <w:t xml:space="preserve"> </w:t>
      </w:r>
    </w:p>
    <w:p w14:paraId="4935EEA7" w14:textId="1D84A21A" w:rsidR="003222C0" w:rsidRDefault="003222C0" w:rsidP="008D0EF1">
      <w:pPr>
        <w:pStyle w:val="Default"/>
        <w:spacing w:after="120"/>
        <w:jc w:val="both"/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</w:pPr>
      <w:r w:rsidRPr="003222C0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“At a time of geopolitical uncertainty and rising production and marketing costs, this agreement offers a concrete opportunity to diversify exports and strengthen the global </w:t>
      </w:r>
      <w:r w:rsidR="00C326E9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competitiveness</w:t>
      </w:r>
      <w:r w:rsidRPr="003222C0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 of EU wine companies,” </w:t>
      </w:r>
      <w:r w:rsidRPr="00C326E9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said Marzia Varvaglione, President of CEEV.</w:t>
      </w:r>
      <w:r w:rsidRPr="003222C0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 “While we still need to examine the final text in detail, the outcome is already positive for the EU wine sector.”</w:t>
      </w:r>
    </w:p>
    <w:p w14:paraId="30657EF3" w14:textId="2399E8D8" w:rsidR="00C326E9" w:rsidRDefault="00C326E9" w:rsidP="008D0EF1">
      <w:pPr>
        <w:pStyle w:val="Default"/>
        <w:spacing w:after="120"/>
        <w:jc w:val="both"/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</w:pPr>
      <w:r w:rsidRPr="00C326E9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Australia is currently the 11</w:t>
      </w:r>
      <w:r w:rsidRPr="003A0651">
        <w:rPr>
          <w:rFonts w:ascii="Calibri" w:eastAsiaTheme="minorHAnsi" w:hAnsi="Calibri" w:cs="Calibri"/>
          <w:color w:val="auto"/>
          <w:sz w:val="22"/>
          <w:szCs w:val="22"/>
          <w:vertAlign w:val="superscript"/>
          <w:lang w:val="en-US" w:eastAsia="en-US"/>
        </w:rPr>
        <w:t>th</w:t>
      </w:r>
      <w:r w:rsidR="003A0651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 xml:space="preserve"> </w:t>
      </w:r>
      <w:r w:rsidRPr="00C326E9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largest export market for EU wines, with exports exceeding €300 million in the last campaign. Sparkling wines account for around half of this trade, reflecting strong Australian demand for EU “bubbles.”</w:t>
      </w:r>
    </w:p>
    <w:p w14:paraId="64C0D7FF" w14:textId="615FB9BD" w:rsidR="002E25A3" w:rsidRDefault="00C90826" w:rsidP="008D0EF1">
      <w:pPr>
        <w:pStyle w:val="Default"/>
        <w:spacing w:after="120"/>
        <w:jc w:val="both"/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The agreement will bring the immediate elimination of the 5% import tariffs</w:t>
      </w:r>
      <w:r w:rsidR="00D61BF5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 xml:space="preserve"> on EU wines</w:t>
      </w:r>
      <w:r w:rsidR="0070380C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 xml:space="preserve">, the </w:t>
      </w:r>
      <w:r w:rsidR="00D61BF5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modernization of the bilateral wine agreement, which includes a s</w:t>
      </w:r>
      <w:r w:rsidR="00D61BF5" w:rsidRPr="00D61BF5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implified recognition of international winemaking practices</w:t>
      </w:r>
      <w:r w:rsidR="00D61BF5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 xml:space="preserve"> </w:t>
      </w:r>
      <w:r w:rsidR="0070380C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and the enhanced protection of our Geographical indications.</w:t>
      </w:r>
    </w:p>
    <w:p w14:paraId="76B3B306" w14:textId="32C46674" w:rsidR="002E25A3" w:rsidRPr="0070380C" w:rsidRDefault="00C326E9" w:rsidP="008D0EF1">
      <w:pPr>
        <w:pStyle w:val="Default"/>
        <w:spacing w:after="120"/>
        <w:jc w:val="both"/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</w:pPr>
      <w:r w:rsidRPr="00C326E9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“The protection of </w:t>
      </w:r>
      <w:r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wine </w:t>
      </w:r>
      <w:r w:rsidRPr="00C326E9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GIs was one of the most sensitive elements of the negotiation, with implications beyond Australia,” </w:t>
      </w:r>
      <w:r w:rsidRPr="00C326E9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said Ignacio Sánchez Recarte, Secretary General of CEEV.</w:t>
      </w:r>
      <w:r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 xml:space="preserve"> “</w:t>
      </w:r>
      <w:r w:rsidRPr="00C326E9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The phase-out of the use of ‘Prosecco’ for Australian exports, together with clearer labelling rules to avoid consumer confusion</w:t>
      </w:r>
      <w:r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 when </w:t>
      </w:r>
      <w:r w:rsidR="00CF4833" w:rsidRPr="00CF4833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Australian producers</w:t>
      </w:r>
      <w:r w:rsidR="00CF4833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 </w:t>
      </w:r>
      <w:r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us</w:t>
      </w:r>
      <w:r w:rsidR="00CF4833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e</w:t>
      </w:r>
      <w:r w:rsidR="00FE16C8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 </w:t>
      </w:r>
      <w:r w:rsidR="00FE16C8" w:rsidRPr="00FE16C8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domestically</w:t>
      </w:r>
      <w:r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 the term Prosecco </w:t>
      </w:r>
      <w:r w:rsidR="00CF4833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as a varietal name</w:t>
      </w:r>
      <w:r w:rsidRPr="00C326E9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, is </w:t>
      </w:r>
      <w:r w:rsidR="00CF4833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not a bad result</w:t>
      </w:r>
      <w:r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 xml:space="preserve"> considering the complexity of the discussions</w:t>
      </w:r>
      <w:r w:rsidRPr="00C326E9">
        <w:rPr>
          <w:rFonts w:ascii="Calibri" w:eastAsiaTheme="minorHAnsi" w:hAnsi="Calibri" w:cs="Calibri"/>
          <w:i/>
          <w:iCs/>
          <w:color w:val="auto"/>
          <w:sz w:val="22"/>
          <w:szCs w:val="22"/>
          <w:lang w:val="en-US" w:eastAsia="en-US"/>
        </w:rPr>
        <w:t>.”</w:t>
      </w:r>
    </w:p>
    <w:p w14:paraId="66E7E177" w14:textId="53E74500" w:rsidR="002E25A3" w:rsidRPr="002E25A3" w:rsidRDefault="002E25A3" w:rsidP="008D0EF1">
      <w:pPr>
        <w:pStyle w:val="Default"/>
        <w:spacing w:after="120"/>
        <w:jc w:val="both"/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</w:pPr>
      <w:r w:rsidRPr="002E25A3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 xml:space="preserve">CEEV </w:t>
      </w:r>
      <w:r w:rsidR="003222C0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congratulates</w:t>
      </w:r>
      <w:r w:rsidRPr="002E25A3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 xml:space="preserve"> the European Commission for this important step and </w:t>
      </w:r>
      <w:r w:rsidR="00C326E9" w:rsidRPr="00C326E9">
        <w:rPr>
          <w:rFonts w:ascii="Calibri" w:eastAsiaTheme="minorHAnsi" w:hAnsi="Calibri" w:cs="Calibri"/>
          <w:color w:val="auto"/>
          <w:sz w:val="22"/>
          <w:szCs w:val="22"/>
          <w:lang w:val="en-US" w:eastAsia="en-US"/>
        </w:rPr>
        <w:t>urged EU institutions to move quickly towards ratification to ensure the agreement enters into force without delay.</w:t>
      </w:r>
    </w:p>
    <w:p w14:paraId="57E81D8C" w14:textId="77777777" w:rsidR="00B90D7F" w:rsidRDefault="00B90D7F" w:rsidP="00B90D7F">
      <w:pPr>
        <w:pStyle w:val="Default"/>
        <w:jc w:val="center"/>
        <w:rPr>
          <w:rFonts w:ascii="Calibri" w:hAnsi="Calibri"/>
          <w:sz w:val="22"/>
          <w:szCs w:val="22"/>
          <w:lang w:val="en-GB"/>
        </w:rPr>
      </w:pPr>
    </w:p>
    <w:p w14:paraId="7EC27BBE" w14:textId="77777777" w:rsidR="00B90D7F" w:rsidRDefault="00B90D7F" w:rsidP="00B90D7F">
      <w:pPr>
        <w:pStyle w:val="Default"/>
        <w:jc w:val="center"/>
        <w:rPr>
          <w:rFonts w:ascii="Calibri" w:hAnsi="Calibri"/>
          <w:sz w:val="22"/>
          <w:szCs w:val="22"/>
          <w:lang w:val="en-GB"/>
        </w:rPr>
      </w:pPr>
      <w:r w:rsidRPr="00EA2842">
        <w:rPr>
          <w:rFonts w:ascii="Calibri" w:hAnsi="Calibri"/>
          <w:sz w:val="22"/>
          <w:szCs w:val="22"/>
          <w:lang w:val="en-GB"/>
        </w:rPr>
        <w:t>--- END---</w:t>
      </w:r>
    </w:p>
    <w:p w14:paraId="061219D8" w14:textId="77777777" w:rsidR="00B90D7F" w:rsidRDefault="00B90D7F" w:rsidP="00B90D7F">
      <w:pPr>
        <w:pStyle w:val="Default"/>
        <w:jc w:val="center"/>
        <w:rPr>
          <w:rFonts w:ascii="Calibri" w:hAnsi="Calibri"/>
          <w:sz w:val="22"/>
          <w:szCs w:val="22"/>
          <w:lang w:val="en-GB"/>
        </w:rPr>
      </w:pPr>
    </w:p>
    <w:p w14:paraId="7F7623A5" w14:textId="77777777" w:rsidR="00B90D7F" w:rsidRPr="006C5FA5" w:rsidRDefault="00B90D7F" w:rsidP="00B90D7F">
      <w:pPr>
        <w:pStyle w:val="Default"/>
        <w:spacing w:after="60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  <w:lang w:val="en-GB"/>
        </w:rPr>
      </w:pPr>
      <w:r w:rsidRPr="006C5FA5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  <w:lang w:val="en-GB"/>
        </w:rPr>
        <w:t xml:space="preserve">For any enquiry, please contact: </w:t>
      </w:r>
    </w:p>
    <w:p w14:paraId="72426946" w14:textId="77777777" w:rsidR="00B90D7F" w:rsidRPr="006C5FA5" w:rsidRDefault="00B90D7F" w:rsidP="00B90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6C5FA5">
        <w:rPr>
          <w:rFonts w:asciiTheme="minorHAnsi" w:hAnsiTheme="minorHAnsi" w:cstheme="minorHAnsi"/>
          <w:color w:val="auto"/>
          <w:sz w:val="22"/>
          <w:szCs w:val="22"/>
          <w:lang w:val="en-GB"/>
        </w:rPr>
        <w:t>Dr Ignacio Sánchez Recarte, Secretary General of CEEV</w:t>
      </w:r>
    </w:p>
    <w:p w14:paraId="78CD97D7" w14:textId="77777777" w:rsidR="00B90D7F" w:rsidRPr="006C5FA5" w:rsidRDefault="00B90D7F" w:rsidP="00B90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hyperlink r:id="rId10" w:history="1">
        <w:r w:rsidRPr="006C5FA5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ceev@ceev.eu</w:t>
        </w:r>
      </w:hyperlink>
      <w:r w:rsidRPr="006C5FA5">
        <w:rPr>
          <w:rFonts w:asciiTheme="minorHAnsi" w:hAnsiTheme="minorHAnsi" w:cstheme="minorHAnsi"/>
          <w:bCs/>
          <w:color w:val="auto"/>
          <w:sz w:val="22"/>
          <w:szCs w:val="22"/>
          <w:lang w:val="en-GB"/>
        </w:rPr>
        <w:t xml:space="preserve"> - Tel: +32 2 230 99 70 </w:t>
      </w:r>
      <w:r w:rsidRPr="006C5FA5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- </w:t>
      </w:r>
      <w:r w:rsidRPr="006C5FA5">
        <w:rPr>
          <w:rFonts w:asciiTheme="minorHAnsi" w:hAnsiTheme="minorHAnsi" w:cstheme="minorHAnsi"/>
          <w:bCs/>
          <w:color w:val="auto"/>
          <w:sz w:val="22"/>
          <w:szCs w:val="22"/>
          <w:lang w:val="en-GB"/>
        </w:rPr>
        <w:t xml:space="preserve">Mobile: +32 476 88 36 75 </w:t>
      </w:r>
    </w:p>
    <w:p w14:paraId="0247053A" w14:textId="77777777" w:rsidR="00B90D7F" w:rsidRPr="006C5FA5" w:rsidRDefault="00B90D7F" w:rsidP="00B90D7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GB"/>
        </w:rPr>
      </w:pPr>
    </w:p>
    <w:p w14:paraId="79A027C2" w14:textId="77777777" w:rsidR="00B90D7F" w:rsidRPr="006C5FA5" w:rsidRDefault="00B90D7F" w:rsidP="00B90D7F">
      <w:pPr>
        <w:pStyle w:val="Default"/>
        <w:spacing w:after="60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  <w:lang w:val="en-GB"/>
        </w:rPr>
      </w:pPr>
      <w:r w:rsidRPr="006C5FA5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u w:val="single"/>
          <w:lang w:val="en-GB"/>
        </w:rPr>
        <w:t xml:space="preserve">Note to Editors: </w:t>
      </w:r>
    </w:p>
    <w:p w14:paraId="10222555" w14:textId="42B35A58" w:rsidR="00B90D7F" w:rsidRDefault="00B90D7F" w:rsidP="00B90D7F">
      <w:pPr>
        <w:spacing w:after="120"/>
        <w:jc w:val="both"/>
      </w:pPr>
      <w:r w:rsidRPr="006C5FA5">
        <w:rPr>
          <w:rFonts w:cstheme="minorHAnsi"/>
          <w:b/>
          <w:bCs/>
          <w:color w:val="365F91" w:themeColor="accent1" w:themeShade="BF"/>
        </w:rPr>
        <w:t xml:space="preserve">Comité Européen des Entreprises Vins </w:t>
      </w:r>
      <w:r w:rsidRPr="006C5FA5">
        <w:rPr>
          <w:rFonts w:cstheme="minorHAnsi"/>
          <w:color w:val="365F91" w:themeColor="accent1" w:themeShade="BF"/>
        </w:rPr>
        <w:t>(CEEV) represents the European Union wine</w:t>
      </w:r>
      <w:r w:rsidR="00BB38C7">
        <w:rPr>
          <w:rFonts w:cstheme="minorHAnsi"/>
          <w:color w:val="365F91" w:themeColor="accent1" w:themeShade="BF"/>
        </w:rPr>
        <w:t>,</w:t>
      </w:r>
      <w:r w:rsidRPr="006C5FA5">
        <w:rPr>
          <w:rFonts w:cstheme="minorHAnsi"/>
          <w:color w:val="365F91" w:themeColor="accent1" w:themeShade="BF"/>
        </w:rPr>
        <w:t xml:space="preserve"> aromatized wine</w:t>
      </w:r>
      <w:r w:rsidR="00BB38C7">
        <w:rPr>
          <w:rFonts w:cstheme="minorHAnsi"/>
          <w:color w:val="365F91" w:themeColor="accent1" w:themeShade="BF"/>
        </w:rPr>
        <w:t xml:space="preserve"> and vinegar</w:t>
      </w:r>
      <w:r w:rsidRPr="006C5FA5">
        <w:rPr>
          <w:rFonts w:cstheme="minorHAnsi"/>
          <w:color w:val="365F91" w:themeColor="accent1" w:themeShade="BF"/>
        </w:rPr>
        <w:t xml:space="preserve"> companies. It brings together 25 national organisations from 13 EU Member States, plus Switzerland, UK and Ukraine, as well as a consortium of 4 leading European wine companies. The companies represented by CEEV, mainly SMEs, produce and market most quality European wines, both with and without a geographical indication, and account for over 90% of EU wine exports. </w:t>
      </w:r>
      <w:r w:rsidRPr="006C5FA5">
        <w:rPr>
          <w:rFonts w:cstheme="minorHAnsi"/>
          <w:color w:val="365F91" w:themeColor="accent1" w:themeShade="BF"/>
          <w:lang w:val="en-GB"/>
        </w:rPr>
        <w:t xml:space="preserve">For more information, please visit </w:t>
      </w:r>
      <w:hyperlink r:id="rId11" w:history="1">
        <w:r w:rsidRPr="006C5FA5">
          <w:rPr>
            <w:rStyle w:val="Hyperlink"/>
            <w:rFonts w:cstheme="minorHAnsi"/>
          </w:rPr>
          <w:t>www.ceev.eu</w:t>
        </w:r>
      </w:hyperlink>
    </w:p>
    <w:p w14:paraId="6835EF3D" w14:textId="77777777" w:rsidR="003222C0" w:rsidRDefault="003222C0" w:rsidP="00B90D7F">
      <w:pPr>
        <w:spacing w:after="120"/>
        <w:jc w:val="both"/>
        <w:rPr>
          <w:rFonts w:cstheme="minorHAnsi"/>
          <w:b/>
          <w:bCs/>
          <w:color w:val="365F91" w:themeColor="accent1" w:themeShade="BF"/>
        </w:rPr>
      </w:pPr>
    </w:p>
    <w:p w14:paraId="4689B081" w14:textId="6A21E343" w:rsidR="00D61BF5" w:rsidRPr="003222C0" w:rsidRDefault="003222C0" w:rsidP="00B90D7F">
      <w:pPr>
        <w:spacing w:after="120"/>
        <w:jc w:val="both"/>
        <w:rPr>
          <w:rFonts w:cstheme="minorHAnsi"/>
          <w:b/>
          <w:bCs/>
          <w:color w:val="365F91" w:themeColor="accent1" w:themeShade="BF"/>
        </w:rPr>
      </w:pPr>
      <w:r>
        <w:rPr>
          <w:rFonts w:cstheme="minorHAnsi"/>
          <w:b/>
          <w:bCs/>
          <w:color w:val="365F91" w:themeColor="accent1" w:themeShade="BF"/>
        </w:rPr>
        <w:t>Trade of wine</w:t>
      </w:r>
      <w:r w:rsidR="00D61BF5" w:rsidRPr="003222C0">
        <w:rPr>
          <w:rFonts w:cstheme="minorHAnsi"/>
          <w:b/>
          <w:bCs/>
          <w:color w:val="365F91" w:themeColor="accent1" w:themeShade="BF"/>
        </w:rPr>
        <w:t xml:space="preserve"> between the EU and Australia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304"/>
        <w:gridCol w:w="3358"/>
      </w:tblGrid>
      <w:tr w:rsidR="00D61BF5" w14:paraId="29F7DB08" w14:textId="77777777" w:rsidTr="003222C0">
        <w:tc>
          <w:tcPr>
            <w:tcW w:w="19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DE31CFD" w14:textId="137E8D6A" w:rsidR="00D61BF5" w:rsidRPr="003222C0" w:rsidRDefault="003222C0" w:rsidP="003222C0">
            <w:pPr>
              <w:spacing w:after="120"/>
              <w:jc w:val="both"/>
              <w:rPr>
                <w:rFonts w:cstheme="minorHAnsi"/>
                <w:color w:val="365F91" w:themeColor="accent1" w:themeShade="BF"/>
              </w:rPr>
            </w:pPr>
            <w:r w:rsidRPr="003222C0">
              <w:rPr>
                <w:rFonts w:cstheme="minorHAnsi"/>
                <w:color w:val="365F91" w:themeColor="accent1" w:themeShade="BF"/>
              </w:rPr>
              <w:t>Marketing year</w:t>
            </w:r>
          </w:p>
        </w:tc>
        <w:tc>
          <w:tcPr>
            <w:tcW w:w="3304" w:type="dxa"/>
            <w:shd w:val="clear" w:color="auto" w:fill="DBE5F1" w:themeFill="accent1" w:themeFillTint="33"/>
          </w:tcPr>
          <w:p w14:paraId="5CDBCD35" w14:textId="1ABFADEA" w:rsidR="003222C0" w:rsidRPr="003222C0" w:rsidRDefault="003222C0" w:rsidP="003222C0">
            <w:pPr>
              <w:spacing w:after="120"/>
              <w:jc w:val="center"/>
              <w:rPr>
                <w:rFonts w:cstheme="minorHAnsi"/>
                <w:color w:val="365F91" w:themeColor="accent1" w:themeShade="BF"/>
              </w:rPr>
            </w:pPr>
            <w:r w:rsidRPr="003222C0">
              <w:rPr>
                <w:rFonts w:cstheme="minorHAnsi"/>
                <w:color w:val="365F91" w:themeColor="accent1" w:themeShade="BF"/>
              </w:rPr>
              <w:t>EU wines export</w:t>
            </w:r>
            <w:r>
              <w:rPr>
                <w:rFonts w:cstheme="minorHAnsi"/>
                <w:color w:val="365F91" w:themeColor="accent1" w:themeShade="BF"/>
              </w:rPr>
              <w:t>s</w:t>
            </w:r>
            <w:r w:rsidRPr="003222C0">
              <w:rPr>
                <w:rFonts w:cstheme="minorHAnsi"/>
                <w:color w:val="365F91" w:themeColor="accent1" w:themeShade="BF"/>
              </w:rPr>
              <w:t xml:space="preserve"> to Australia</w:t>
            </w:r>
          </w:p>
        </w:tc>
        <w:tc>
          <w:tcPr>
            <w:tcW w:w="3358" w:type="dxa"/>
            <w:shd w:val="clear" w:color="auto" w:fill="DBE5F1" w:themeFill="accent1" w:themeFillTint="33"/>
          </w:tcPr>
          <w:p w14:paraId="775C460A" w14:textId="29EF3170" w:rsidR="003222C0" w:rsidRPr="003222C0" w:rsidRDefault="003222C0" w:rsidP="003222C0">
            <w:pPr>
              <w:spacing w:after="120"/>
              <w:jc w:val="center"/>
              <w:rPr>
                <w:rFonts w:cstheme="minorHAnsi"/>
                <w:color w:val="365F91" w:themeColor="accent1" w:themeShade="BF"/>
              </w:rPr>
            </w:pPr>
            <w:r w:rsidRPr="003222C0">
              <w:rPr>
                <w:rFonts w:cstheme="minorHAnsi"/>
                <w:color w:val="365F91" w:themeColor="accent1" w:themeShade="BF"/>
              </w:rPr>
              <w:t>Australian wines export</w:t>
            </w:r>
            <w:r>
              <w:rPr>
                <w:rFonts w:cstheme="minorHAnsi"/>
                <w:color w:val="365F91" w:themeColor="accent1" w:themeShade="BF"/>
              </w:rPr>
              <w:t xml:space="preserve">s </w:t>
            </w:r>
            <w:r w:rsidRPr="003222C0">
              <w:rPr>
                <w:rFonts w:cstheme="minorHAnsi"/>
                <w:color w:val="365F91" w:themeColor="accent1" w:themeShade="BF"/>
              </w:rPr>
              <w:t>to the EU</w:t>
            </w:r>
          </w:p>
        </w:tc>
      </w:tr>
      <w:tr w:rsidR="00D61BF5" w14:paraId="5A7B6ACA" w14:textId="77777777" w:rsidTr="003222C0">
        <w:tc>
          <w:tcPr>
            <w:tcW w:w="1980" w:type="dxa"/>
            <w:shd w:val="clear" w:color="auto" w:fill="DBE5F1" w:themeFill="accent1" w:themeFillTint="33"/>
          </w:tcPr>
          <w:p w14:paraId="249A7CE0" w14:textId="254400E8" w:rsidR="00D61BF5" w:rsidRPr="003222C0" w:rsidRDefault="00D61BF5" w:rsidP="00B90D7F">
            <w:pPr>
              <w:spacing w:after="120"/>
              <w:jc w:val="both"/>
              <w:rPr>
                <w:rFonts w:cstheme="minorHAnsi"/>
                <w:color w:val="365F91" w:themeColor="accent1" w:themeShade="BF"/>
              </w:rPr>
            </w:pPr>
            <w:r w:rsidRPr="003222C0">
              <w:rPr>
                <w:rFonts w:cstheme="minorHAnsi"/>
                <w:color w:val="365F91" w:themeColor="accent1" w:themeShade="BF"/>
              </w:rPr>
              <w:t>2024/2025</w:t>
            </w:r>
          </w:p>
        </w:tc>
        <w:tc>
          <w:tcPr>
            <w:tcW w:w="3304" w:type="dxa"/>
          </w:tcPr>
          <w:p w14:paraId="55B57557" w14:textId="57B8B2CB" w:rsidR="00D61BF5" w:rsidRPr="003222C0" w:rsidRDefault="003222C0" w:rsidP="003222C0">
            <w:pPr>
              <w:spacing w:after="120"/>
              <w:jc w:val="center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>€ 304 million</w:t>
            </w:r>
          </w:p>
        </w:tc>
        <w:tc>
          <w:tcPr>
            <w:tcW w:w="3358" w:type="dxa"/>
          </w:tcPr>
          <w:p w14:paraId="2D636DE3" w14:textId="6E8EA06C" w:rsidR="00D61BF5" w:rsidRPr="003222C0" w:rsidRDefault="003222C0" w:rsidP="003222C0">
            <w:pPr>
              <w:spacing w:after="120"/>
              <w:jc w:val="center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>€ 155 million</w:t>
            </w:r>
          </w:p>
        </w:tc>
      </w:tr>
      <w:tr w:rsidR="00D61BF5" w14:paraId="4322A2FB" w14:textId="77777777" w:rsidTr="003222C0">
        <w:tc>
          <w:tcPr>
            <w:tcW w:w="1980" w:type="dxa"/>
            <w:shd w:val="clear" w:color="auto" w:fill="DBE5F1" w:themeFill="accent1" w:themeFillTint="33"/>
          </w:tcPr>
          <w:p w14:paraId="137FB615" w14:textId="0849886E" w:rsidR="00D61BF5" w:rsidRPr="003222C0" w:rsidRDefault="00D61BF5" w:rsidP="00B90D7F">
            <w:pPr>
              <w:spacing w:after="120"/>
              <w:jc w:val="both"/>
              <w:rPr>
                <w:rFonts w:cstheme="minorHAnsi"/>
                <w:color w:val="365F91" w:themeColor="accent1" w:themeShade="BF"/>
              </w:rPr>
            </w:pPr>
            <w:r w:rsidRPr="003222C0">
              <w:rPr>
                <w:rFonts w:cstheme="minorHAnsi"/>
                <w:color w:val="365F91" w:themeColor="accent1" w:themeShade="BF"/>
              </w:rPr>
              <w:t>2023/2024</w:t>
            </w:r>
          </w:p>
        </w:tc>
        <w:tc>
          <w:tcPr>
            <w:tcW w:w="3304" w:type="dxa"/>
          </w:tcPr>
          <w:p w14:paraId="2578F7DB" w14:textId="0851531B" w:rsidR="00D61BF5" w:rsidRPr="003222C0" w:rsidRDefault="003222C0" w:rsidP="003222C0">
            <w:pPr>
              <w:spacing w:after="120"/>
              <w:jc w:val="center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>€ 300 million</w:t>
            </w:r>
          </w:p>
        </w:tc>
        <w:tc>
          <w:tcPr>
            <w:tcW w:w="3358" w:type="dxa"/>
          </w:tcPr>
          <w:p w14:paraId="2CC95730" w14:textId="409CF22A" w:rsidR="00D61BF5" w:rsidRPr="003222C0" w:rsidRDefault="003222C0" w:rsidP="003222C0">
            <w:pPr>
              <w:spacing w:after="120"/>
              <w:jc w:val="center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>€ 171 million</w:t>
            </w:r>
          </w:p>
        </w:tc>
      </w:tr>
    </w:tbl>
    <w:p w14:paraId="5F87D6EE" w14:textId="77777777" w:rsidR="00D61BF5" w:rsidRDefault="00D61BF5" w:rsidP="00B90D7F">
      <w:pPr>
        <w:spacing w:after="120"/>
        <w:jc w:val="both"/>
      </w:pPr>
    </w:p>
    <w:sectPr w:rsidR="00D61BF5" w:rsidSect="00F472D8">
      <w:headerReference w:type="even" r:id="rId12"/>
      <w:headerReference w:type="default" r:id="rId13"/>
      <w:footerReference w:type="even" r:id="rId14"/>
      <w:footerReference w:type="default" r:id="rId15"/>
      <w:pgSz w:w="11901" w:h="16840"/>
      <w:pgMar w:top="1702" w:right="986" w:bottom="1418" w:left="993" w:header="0" w:footer="11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AA3F" w14:textId="77777777" w:rsidR="00715BDE" w:rsidRDefault="00715BDE">
      <w:r>
        <w:separator/>
      </w:r>
    </w:p>
  </w:endnote>
  <w:endnote w:type="continuationSeparator" w:id="0">
    <w:p w14:paraId="030404CD" w14:textId="77777777" w:rsidR="00715BDE" w:rsidRDefault="00715BDE">
      <w:r>
        <w:continuationSeparator/>
      </w:r>
    </w:p>
  </w:endnote>
  <w:endnote w:type="continuationNotice" w:id="1">
    <w:p w14:paraId="3EC02A43" w14:textId="77777777" w:rsidR="00715BDE" w:rsidRDefault="00715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8FB4" w14:textId="77777777" w:rsidR="00D12800" w:rsidRDefault="00D12800" w:rsidP="002A3D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7E327" w14:textId="77777777" w:rsidR="006A3C1B" w:rsidRDefault="006A3C1B" w:rsidP="00D12800">
    <w:pPr>
      <w:spacing w:line="14" w:lineRule="auto"/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6A00" w14:textId="77777777" w:rsidR="006A3C1B" w:rsidRDefault="008056AF" w:rsidP="00D12800">
    <w:pPr>
      <w:pStyle w:val="Footer"/>
      <w:ind w:left="142" w:right="360"/>
      <w:rPr>
        <w:rStyle w:val="PageNumbe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EE846B2" wp14:editId="4FECECC9">
          <wp:simplePos x="0" y="0"/>
          <wp:positionH relativeFrom="column">
            <wp:posOffset>-69850</wp:posOffset>
          </wp:positionH>
          <wp:positionV relativeFrom="paragraph">
            <wp:posOffset>187960</wp:posOffset>
          </wp:positionV>
          <wp:extent cx="4763135" cy="502285"/>
          <wp:effectExtent l="0" t="0" r="12065" b="5715"/>
          <wp:wrapNone/>
          <wp:docPr id="694591774" name="Picture 694591774" descr="CEEV-JULIE:BOULOT:01 Administration:A. Secrétariat:Logos:CEEV:Banner template:Pag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EV-JULIE:BOULOT:01 Administration:A. Secrétariat:Logos:CEEV:Banner template:Page 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0"/>
                  <a:stretch/>
                </pic:blipFill>
                <pic:spPr bwMode="auto">
                  <a:xfrm>
                    <a:off x="0" y="0"/>
                    <a:ext cx="476313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42104" w14:textId="77777777" w:rsidR="006A3C1B" w:rsidRDefault="006A3C1B" w:rsidP="004E24AB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F01C" w14:textId="77777777" w:rsidR="00715BDE" w:rsidRDefault="00715BDE">
      <w:r>
        <w:separator/>
      </w:r>
    </w:p>
  </w:footnote>
  <w:footnote w:type="continuationSeparator" w:id="0">
    <w:p w14:paraId="67E0A1C6" w14:textId="77777777" w:rsidR="00715BDE" w:rsidRDefault="00715BDE">
      <w:r>
        <w:continuationSeparator/>
      </w:r>
    </w:p>
  </w:footnote>
  <w:footnote w:type="continuationNotice" w:id="1">
    <w:p w14:paraId="529E02CF" w14:textId="77777777" w:rsidR="00715BDE" w:rsidRDefault="00715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67C6" w14:textId="77777777" w:rsidR="006A3C1B" w:rsidRDefault="006A3C1B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B912" w14:textId="77777777" w:rsidR="006A3C1B" w:rsidRDefault="00EB0432" w:rsidP="00910E13">
    <w:pPr>
      <w:pStyle w:val="Header"/>
      <w:ind w:left="-567"/>
    </w:pPr>
    <w:r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58243" behindDoc="0" locked="0" layoutInCell="1" allowOverlap="1" wp14:anchorId="60839BA8" wp14:editId="33F75E7D">
          <wp:simplePos x="0" y="0"/>
          <wp:positionH relativeFrom="column">
            <wp:posOffset>4281805</wp:posOffset>
          </wp:positionH>
          <wp:positionV relativeFrom="paragraph">
            <wp:posOffset>451167</wp:posOffset>
          </wp:positionV>
          <wp:extent cx="2020999" cy="493395"/>
          <wp:effectExtent l="0" t="0" r="0" b="1905"/>
          <wp:wrapNone/>
          <wp:docPr id="869299442" name="Picture 869299442" descr="A red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iM_Baseline outside_gradi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0999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3"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58241" behindDoc="0" locked="0" layoutInCell="1" allowOverlap="1" wp14:anchorId="33F0AED0" wp14:editId="336F2D64">
          <wp:simplePos x="0" y="0"/>
          <wp:positionH relativeFrom="column">
            <wp:posOffset>-635</wp:posOffset>
          </wp:positionH>
          <wp:positionV relativeFrom="paragraph">
            <wp:posOffset>287867</wp:posOffset>
          </wp:positionV>
          <wp:extent cx="2265680" cy="702401"/>
          <wp:effectExtent l="0" t="0" r="0" b="8890"/>
          <wp:wrapNone/>
          <wp:docPr id="541399386" name="Picture 541399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ev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0240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28F"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58242" behindDoc="1" locked="0" layoutInCell="1" allowOverlap="1" wp14:anchorId="4B2D2846" wp14:editId="1E6EE231">
          <wp:simplePos x="0" y="0"/>
          <wp:positionH relativeFrom="column">
            <wp:posOffset>-871855</wp:posOffset>
          </wp:positionH>
          <wp:positionV relativeFrom="paragraph">
            <wp:posOffset>31750</wp:posOffset>
          </wp:positionV>
          <wp:extent cx="4062095" cy="4008120"/>
          <wp:effectExtent l="0" t="0" r="1905" b="5080"/>
          <wp:wrapNone/>
          <wp:docPr id="921516437" name="Picture 921516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 template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992" b="44510"/>
                  <a:stretch/>
                </pic:blipFill>
                <pic:spPr bwMode="auto">
                  <a:xfrm>
                    <a:off x="0" y="0"/>
                    <a:ext cx="4062095" cy="4008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1A79"/>
    <w:multiLevelType w:val="multilevel"/>
    <w:tmpl w:val="A02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D13DA"/>
    <w:multiLevelType w:val="hybridMultilevel"/>
    <w:tmpl w:val="77FA47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34EB"/>
    <w:multiLevelType w:val="hybridMultilevel"/>
    <w:tmpl w:val="1E481CB8"/>
    <w:lvl w:ilvl="0" w:tplc="3F7AB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FA0"/>
    <w:multiLevelType w:val="multilevel"/>
    <w:tmpl w:val="386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426"/>
      </w:pPr>
      <w:rPr>
        <w:rFonts w:cs="Arial" w:hint="default"/>
        <w:color w:val="FF000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04216"/>
    <w:multiLevelType w:val="hybridMultilevel"/>
    <w:tmpl w:val="F80A53D2"/>
    <w:lvl w:ilvl="0" w:tplc="FA263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4AC9"/>
    <w:multiLevelType w:val="hybridMultilevel"/>
    <w:tmpl w:val="B13E40C0"/>
    <w:lvl w:ilvl="0" w:tplc="0409000F">
      <w:start w:val="1"/>
      <w:numFmt w:val="decimal"/>
      <w:lvlText w:val="%1."/>
      <w:lvlJc w:val="left"/>
      <w:pPr>
        <w:ind w:left="933" w:hanging="360"/>
      </w:pPr>
    </w:lvl>
    <w:lvl w:ilvl="1" w:tplc="04090019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27D67DB0"/>
    <w:multiLevelType w:val="hybridMultilevel"/>
    <w:tmpl w:val="37064C7E"/>
    <w:lvl w:ilvl="0" w:tplc="C8305D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02E6"/>
    <w:multiLevelType w:val="hybridMultilevel"/>
    <w:tmpl w:val="72685BB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D4F6F"/>
    <w:multiLevelType w:val="multilevel"/>
    <w:tmpl w:val="19A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83F7A"/>
    <w:multiLevelType w:val="multilevel"/>
    <w:tmpl w:val="BEAC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B62D9"/>
    <w:multiLevelType w:val="multilevel"/>
    <w:tmpl w:val="C8FA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426"/>
      </w:pPr>
      <w:rPr>
        <w:rFonts w:cs="Arial" w:hint="default"/>
        <w:color w:val="FF000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85692"/>
    <w:multiLevelType w:val="hybridMultilevel"/>
    <w:tmpl w:val="8EAE4332"/>
    <w:lvl w:ilvl="0" w:tplc="17D800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85294"/>
    <w:multiLevelType w:val="hybridMultilevel"/>
    <w:tmpl w:val="C854B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5B13"/>
    <w:multiLevelType w:val="hybridMultilevel"/>
    <w:tmpl w:val="6DA6F0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37160"/>
    <w:multiLevelType w:val="hybridMultilevel"/>
    <w:tmpl w:val="62F82BEA"/>
    <w:lvl w:ilvl="0" w:tplc="A28EB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F2E82"/>
    <w:multiLevelType w:val="hybridMultilevel"/>
    <w:tmpl w:val="C4349876"/>
    <w:lvl w:ilvl="0" w:tplc="27BC99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8366D"/>
    <w:multiLevelType w:val="multilevel"/>
    <w:tmpl w:val="87BA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C5BD3"/>
    <w:multiLevelType w:val="hybridMultilevel"/>
    <w:tmpl w:val="B2C85554"/>
    <w:lvl w:ilvl="0" w:tplc="0A98D2D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250EB5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358F"/>
    <w:multiLevelType w:val="hybridMultilevel"/>
    <w:tmpl w:val="52947FFA"/>
    <w:lvl w:ilvl="0" w:tplc="08090013">
      <w:start w:val="1"/>
      <w:numFmt w:val="upperRoman"/>
      <w:lvlText w:val="%1."/>
      <w:lvlJc w:val="righ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6384B"/>
    <w:multiLevelType w:val="hybridMultilevel"/>
    <w:tmpl w:val="BE22D7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55568"/>
    <w:multiLevelType w:val="hybridMultilevel"/>
    <w:tmpl w:val="03B812F2"/>
    <w:lvl w:ilvl="0" w:tplc="1D9A0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A1444"/>
    <w:multiLevelType w:val="multilevel"/>
    <w:tmpl w:val="595C8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DCB0FE4"/>
    <w:multiLevelType w:val="hybridMultilevel"/>
    <w:tmpl w:val="D1960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C780B32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15D59"/>
    <w:multiLevelType w:val="hybridMultilevel"/>
    <w:tmpl w:val="DBD62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6439"/>
    <w:multiLevelType w:val="multilevel"/>
    <w:tmpl w:val="5760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F7922"/>
    <w:multiLevelType w:val="multilevel"/>
    <w:tmpl w:val="A6BA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426"/>
      </w:pPr>
      <w:rPr>
        <w:rFonts w:cs="Arial" w:hint="default"/>
        <w:color w:val="FF000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111F9"/>
    <w:multiLevelType w:val="hybridMultilevel"/>
    <w:tmpl w:val="7D1C37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86FFC"/>
    <w:multiLevelType w:val="hybridMultilevel"/>
    <w:tmpl w:val="88C211EC"/>
    <w:lvl w:ilvl="0" w:tplc="6C7099E6">
      <w:start w:val="2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80E90"/>
    <w:multiLevelType w:val="hybridMultilevel"/>
    <w:tmpl w:val="C8B68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58EE"/>
    <w:multiLevelType w:val="hybridMultilevel"/>
    <w:tmpl w:val="B83ECAEE"/>
    <w:lvl w:ilvl="0" w:tplc="04090013">
      <w:start w:val="1"/>
      <w:numFmt w:val="upperRoman"/>
      <w:lvlText w:val="%1."/>
      <w:lvlJc w:val="right"/>
      <w:pPr>
        <w:ind w:left="2149" w:hanging="360"/>
      </w:pPr>
    </w:lvl>
    <w:lvl w:ilvl="1" w:tplc="CCB2819C">
      <w:start w:val="2"/>
      <w:numFmt w:val="bullet"/>
      <w:lvlText w:val=""/>
      <w:lvlJc w:val="left"/>
      <w:pPr>
        <w:ind w:left="2869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730C5F2B"/>
    <w:multiLevelType w:val="hybridMultilevel"/>
    <w:tmpl w:val="918E7ADC"/>
    <w:lvl w:ilvl="0" w:tplc="198A360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D5DEA"/>
    <w:multiLevelType w:val="hybridMultilevel"/>
    <w:tmpl w:val="40521D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44A3D"/>
    <w:multiLevelType w:val="multilevel"/>
    <w:tmpl w:val="B210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426"/>
      </w:pPr>
      <w:rPr>
        <w:rFonts w:cs="Arial" w:hint="default"/>
        <w:color w:val="FF000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5402E5"/>
    <w:multiLevelType w:val="hybridMultilevel"/>
    <w:tmpl w:val="CBDC3B7A"/>
    <w:lvl w:ilvl="0" w:tplc="4566EB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44615">
    <w:abstractNumId w:val="3"/>
  </w:num>
  <w:num w:numId="2" w16cid:durableId="2060933401">
    <w:abstractNumId w:val="28"/>
  </w:num>
  <w:num w:numId="3" w16cid:durableId="714700010">
    <w:abstractNumId w:val="22"/>
  </w:num>
  <w:num w:numId="4" w16cid:durableId="2022318531">
    <w:abstractNumId w:val="32"/>
  </w:num>
  <w:num w:numId="5" w16cid:durableId="604382041">
    <w:abstractNumId w:val="25"/>
  </w:num>
  <w:num w:numId="6" w16cid:durableId="1258562167">
    <w:abstractNumId w:val="10"/>
  </w:num>
  <w:num w:numId="7" w16cid:durableId="568613766">
    <w:abstractNumId w:val="30"/>
  </w:num>
  <w:num w:numId="8" w16cid:durableId="345523526">
    <w:abstractNumId w:val="31"/>
  </w:num>
  <w:num w:numId="9" w16cid:durableId="155848253">
    <w:abstractNumId w:val="12"/>
  </w:num>
  <w:num w:numId="10" w16cid:durableId="665673610">
    <w:abstractNumId w:val="14"/>
  </w:num>
  <w:num w:numId="11" w16cid:durableId="460153028">
    <w:abstractNumId w:val="17"/>
  </w:num>
  <w:num w:numId="12" w16cid:durableId="361982710">
    <w:abstractNumId w:val="29"/>
  </w:num>
  <w:num w:numId="13" w16cid:durableId="1693720406">
    <w:abstractNumId w:val="18"/>
  </w:num>
  <w:num w:numId="14" w16cid:durableId="1702433202">
    <w:abstractNumId w:val="13"/>
  </w:num>
  <w:num w:numId="15" w16cid:durableId="55671863">
    <w:abstractNumId w:val="5"/>
  </w:num>
  <w:num w:numId="16" w16cid:durableId="1517620998">
    <w:abstractNumId w:val="15"/>
  </w:num>
  <w:num w:numId="17" w16cid:durableId="671302913">
    <w:abstractNumId w:val="20"/>
  </w:num>
  <w:num w:numId="18" w16cid:durableId="849753401">
    <w:abstractNumId w:val="2"/>
  </w:num>
  <w:num w:numId="19" w16cid:durableId="1881892827">
    <w:abstractNumId w:val="2"/>
  </w:num>
  <w:num w:numId="20" w16cid:durableId="1519075912">
    <w:abstractNumId w:val="11"/>
  </w:num>
  <w:num w:numId="21" w16cid:durableId="1515653727">
    <w:abstractNumId w:val="7"/>
  </w:num>
  <w:num w:numId="22" w16cid:durableId="1822497668">
    <w:abstractNumId w:val="4"/>
  </w:num>
  <w:num w:numId="23" w16cid:durableId="521819162">
    <w:abstractNumId w:val="26"/>
  </w:num>
  <w:num w:numId="24" w16cid:durableId="962810187">
    <w:abstractNumId w:val="27"/>
  </w:num>
  <w:num w:numId="25" w16cid:durableId="1526552706">
    <w:abstractNumId w:val="19"/>
  </w:num>
  <w:num w:numId="26" w16cid:durableId="627659657">
    <w:abstractNumId w:val="24"/>
  </w:num>
  <w:num w:numId="27" w16cid:durableId="858196709">
    <w:abstractNumId w:val="8"/>
  </w:num>
  <w:num w:numId="28" w16cid:durableId="1601523819">
    <w:abstractNumId w:val="16"/>
  </w:num>
  <w:num w:numId="29" w16cid:durableId="1654597259">
    <w:abstractNumId w:val="0"/>
  </w:num>
  <w:num w:numId="30" w16cid:durableId="619266666">
    <w:abstractNumId w:val="9"/>
  </w:num>
  <w:num w:numId="31" w16cid:durableId="1016804855">
    <w:abstractNumId w:val="21"/>
  </w:num>
  <w:num w:numId="32" w16cid:durableId="2139034294">
    <w:abstractNumId w:val="33"/>
  </w:num>
  <w:num w:numId="33" w16cid:durableId="472790084">
    <w:abstractNumId w:val="6"/>
  </w:num>
  <w:num w:numId="34" w16cid:durableId="683215407">
    <w:abstractNumId w:val="23"/>
  </w:num>
  <w:num w:numId="35" w16cid:durableId="10886669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CB"/>
    <w:rsid w:val="00002D9C"/>
    <w:rsid w:val="000133C9"/>
    <w:rsid w:val="00025D61"/>
    <w:rsid w:val="00035BE6"/>
    <w:rsid w:val="0004338A"/>
    <w:rsid w:val="000438D4"/>
    <w:rsid w:val="00046E7E"/>
    <w:rsid w:val="00052B3F"/>
    <w:rsid w:val="00053066"/>
    <w:rsid w:val="000577D5"/>
    <w:rsid w:val="00064D5A"/>
    <w:rsid w:val="00087B2F"/>
    <w:rsid w:val="00095CB4"/>
    <w:rsid w:val="000A199E"/>
    <w:rsid w:val="000A3734"/>
    <w:rsid w:val="000A76A3"/>
    <w:rsid w:val="000A7F9A"/>
    <w:rsid w:val="000B6859"/>
    <w:rsid w:val="000C33F5"/>
    <w:rsid w:val="000D30EA"/>
    <w:rsid w:val="000E0AE1"/>
    <w:rsid w:val="000E206E"/>
    <w:rsid w:val="00110222"/>
    <w:rsid w:val="0012077B"/>
    <w:rsid w:val="001534FE"/>
    <w:rsid w:val="0016087E"/>
    <w:rsid w:val="001839CB"/>
    <w:rsid w:val="00185008"/>
    <w:rsid w:val="001A24F0"/>
    <w:rsid w:val="001A4865"/>
    <w:rsid w:val="001B3645"/>
    <w:rsid w:val="001B5D6C"/>
    <w:rsid w:val="001C402D"/>
    <w:rsid w:val="001C67E0"/>
    <w:rsid w:val="001D5D6D"/>
    <w:rsid w:val="001E5E52"/>
    <w:rsid w:val="001F7BF0"/>
    <w:rsid w:val="002014CC"/>
    <w:rsid w:val="00201F28"/>
    <w:rsid w:val="00203231"/>
    <w:rsid w:val="00204BBC"/>
    <w:rsid w:val="00204DDB"/>
    <w:rsid w:val="00207F01"/>
    <w:rsid w:val="00212D33"/>
    <w:rsid w:val="00216AC2"/>
    <w:rsid w:val="0022655F"/>
    <w:rsid w:val="00232E5C"/>
    <w:rsid w:val="00262BFF"/>
    <w:rsid w:val="002816FB"/>
    <w:rsid w:val="00281C9B"/>
    <w:rsid w:val="00283B25"/>
    <w:rsid w:val="00286C4C"/>
    <w:rsid w:val="002A605B"/>
    <w:rsid w:val="002A66D4"/>
    <w:rsid w:val="002A7C19"/>
    <w:rsid w:val="002B0ED1"/>
    <w:rsid w:val="002B376B"/>
    <w:rsid w:val="002B69CC"/>
    <w:rsid w:val="002D66F4"/>
    <w:rsid w:val="002E25A3"/>
    <w:rsid w:val="002E30EE"/>
    <w:rsid w:val="002F317F"/>
    <w:rsid w:val="00303CA9"/>
    <w:rsid w:val="00306F9A"/>
    <w:rsid w:val="003222C0"/>
    <w:rsid w:val="00322801"/>
    <w:rsid w:val="00330258"/>
    <w:rsid w:val="0033538B"/>
    <w:rsid w:val="003602C1"/>
    <w:rsid w:val="00374933"/>
    <w:rsid w:val="003A0651"/>
    <w:rsid w:val="003A7ACF"/>
    <w:rsid w:val="003B0072"/>
    <w:rsid w:val="003B1201"/>
    <w:rsid w:val="003B17F5"/>
    <w:rsid w:val="003B23B7"/>
    <w:rsid w:val="003D3228"/>
    <w:rsid w:val="003D659D"/>
    <w:rsid w:val="003E057E"/>
    <w:rsid w:val="003E56C1"/>
    <w:rsid w:val="00410A18"/>
    <w:rsid w:val="004179D3"/>
    <w:rsid w:val="0043092E"/>
    <w:rsid w:val="00435408"/>
    <w:rsid w:val="0044397B"/>
    <w:rsid w:val="00443B6B"/>
    <w:rsid w:val="0044531B"/>
    <w:rsid w:val="00447717"/>
    <w:rsid w:val="0045222E"/>
    <w:rsid w:val="004768F9"/>
    <w:rsid w:val="00492069"/>
    <w:rsid w:val="004956C2"/>
    <w:rsid w:val="004A7C02"/>
    <w:rsid w:val="004C445F"/>
    <w:rsid w:val="004C7DAF"/>
    <w:rsid w:val="004D61B7"/>
    <w:rsid w:val="004E24AB"/>
    <w:rsid w:val="00511A57"/>
    <w:rsid w:val="00520070"/>
    <w:rsid w:val="0052457A"/>
    <w:rsid w:val="0052554D"/>
    <w:rsid w:val="00531589"/>
    <w:rsid w:val="0055405D"/>
    <w:rsid w:val="00566652"/>
    <w:rsid w:val="00576B54"/>
    <w:rsid w:val="005A079C"/>
    <w:rsid w:val="005A44A1"/>
    <w:rsid w:val="005B06BC"/>
    <w:rsid w:val="005B5845"/>
    <w:rsid w:val="005B6847"/>
    <w:rsid w:val="005B73DC"/>
    <w:rsid w:val="005D471C"/>
    <w:rsid w:val="005D5969"/>
    <w:rsid w:val="005E0536"/>
    <w:rsid w:val="005F2ECC"/>
    <w:rsid w:val="005F42C6"/>
    <w:rsid w:val="00606B27"/>
    <w:rsid w:val="00612980"/>
    <w:rsid w:val="0063290D"/>
    <w:rsid w:val="00634F6D"/>
    <w:rsid w:val="00642E3E"/>
    <w:rsid w:val="00654BC5"/>
    <w:rsid w:val="00654BE0"/>
    <w:rsid w:val="006557C0"/>
    <w:rsid w:val="00657349"/>
    <w:rsid w:val="00660F6F"/>
    <w:rsid w:val="006624F5"/>
    <w:rsid w:val="00663B76"/>
    <w:rsid w:val="00665DBF"/>
    <w:rsid w:val="00666985"/>
    <w:rsid w:val="006758D7"/>
    <w:rsid w:val="00682FAB"/>
    <w:rsid w:val="006A3C1B"/>
    <w:rsid w:val="006A54D8"/>
    <w:rsid w:val="006B1939"/>
    <w:rsid w:val="006B43DE"/>
    <w:rsid w:val="006B5E41"/>
    <w:rsid w:val="006C563E"/>
    <w:rsid w:val="006C5FA5"/>
    <w:rsid w:val="006D001B"/>
    <w:rsid w:val="006D26C4"/>
    <w:rsid w:val="006D65F9"/>
    <w:rsid w:val="006D74C3"/>
    <w:rsid w:val="006E1CE6"/>
    <w:rsid w:val="006E27B7"/>
    <w:rsid w:val="006E73D4"/>
    <w:rsid w:val="006F2F6E"/>
    <w:rsid w:val="006F59A5"/>
    <w:rsid w:val="007004B0"/>
    <w:rsid w:val="00703099"/>
    <w:rsid w:val="0070380C"/>
    <w:rsid w:val="0070483F"/>
    <w:rsid w:val="007070C7"/>
    <w:rsid w:val="00714605"/>
    <w:rsid w:val="00715BDE"/>
    <w:rsid w:val="00725D42"/>
    <w:rsid w:val="00730128"/>
    <w:rsid w:val="0074028F"/>
    <w:rsid w:val="00741DBA"/>
    <w:rsid w:val="0075672D"/>
    <w:rsid w:val="0077290D"/>
    <w:rsid w:val="00774586"/>
    <w:rsid w:val="00793EB9"/>
    <w:rsid w:val="00794D2C"/>
    <w:rsid w:val="007A51E1"/>
    <w:rsid w:val="007B5625"/>
    <w:rsid w:val="007C5310"/>
    <w:rsid w:val="007D07F0"/>
    <w:rsid w:val="007F1268"/>
    <w:rsid w:val="007F40C0"/>
    <w:rsid w:val="008056AF"/>
    <w:rsid w:val="008102FB"/>
    <w:rsid w:val="0081668F"/>
    <w:rsid w:val="00820527"/>
    <w:rsid w:val="0082604A"/>
    <w:rsid w:val="00827E26"/>
    <w:rsid w:val="00840B72"/>
    <w:rsid w:val="00845066"/>
    <w:rsid w:val="00853CCD"/>
    <w:rsid w:val="00855671"/>
    <w:rsid w:val="00865BBD"/>
    <w:rsid w:val="00871D68"/>
    <w:rsid w:val="008B620A"/>
    <w:rsid w:val="008C348A"/>
    <w:rsid w:val="008D0EF1"/>
    <w:rsid w:val="008D7369"/>
    <w:rsid w:val="008E1FDE"/>
    <w:rsid w:val="008F2084"/>
    <w:rsid w:val="008F3893"/>
    <w:rsid w:val="00910E13"/>
    <w:rsid w:val="00913580"/>
    <w:rsid w:val="00936FCE"/>
    <w:rsid w:val="00942F72"/>
    <w:rsid w:val="009435E5"/>
    <w:rsid w:val="00946D48"/>
    <w:rsid w:val="009563B9"/>
    <w:rsid w:val="0096307C"/>
    <w:rsid w:val="009741AB"/>
    <w:rsid w:val="00977B32"/>
    <w:rsid w:val="00983947"/>
    <w:rsid w:val="00984B72"/>
    <w:rsid w:val="00986016"/>
    <w:rsid w:val="009912C8"/>
    <w:rsid w:val="00992B4A"/>
    <w:rsid w:val="009A354D"/>
    <w:rsid w:val="009B3ED6"/>
    <w:rsid w:val="009B7C4F"/>
    <w:rsid w:val="009C5065"/>
    <w:rsid w:val="009C6ECB"/>
    <w:rsid w:val="009D6593"/>
    <w:rsid w:val="009D66D3"/>
    <w:rsid w:val="009E4EF1"/>
    <w:rsid w:val="009F16C7"/>
    <w:rsid w:val="00A01471"/>
    <w:rsid w:val="00A02296"/>
    <w:rsid w:val="00A05527"/>
    <w:rsid w:val="00A34A94"/>
    <w:rsid w:val="00A36C74"/>
    <w:rsid w:val="00A418BE"/>
    <w:rsid w:val="00A55AFB"/>
    <w:rsid w:val="00A57A00"/>
    <w:rsid w:val="00A65B23"/>
    <w:rsid w:val="00A70EDD"/>
    <w:rsid w:val="00A83D15"/>
    <w:rsid w:val="00AA1E63"/>
    <w:rsid w:val="00AA2A9E"/>
    <w:rsid w:val="00AA5AEA"/>
    <w:rsid w:val="00AA64A8"/>
    <w:rsid w:val="00AB4310"/>
    <w:rsid w:val="00AC4C5C"/>
    <w:rsid w:val="00AD70CC"/>
    <w:rsid w:val="00AD72E5"/>
    <w:rsid w:val="00AF6203"/>
    <w:rsid w:val="00B00624"/>
    <w:rsid w:val="00B15177"/>
    <w:rsid w:val="00B177CF"/>
    <w:rsid w:val="00B22709"/>
    <w:rsid w:val="00B23BD9"/>
    <w:rsid w:val="00B25096"/>
    <w:rsid w:val="00B31D86"/>
    <w:rsid w:val="00B52132"/>
    <w:rsid w:val="00B52762"/>
    <w:rsid w:val="00B676AC"/>
    <w:rsid w:val="00B72257"/>
    <w:rsid w:val="00B77AFA"/>
    <w:rsid w:val="00B8798D"/>
    <w:rsid w:val="00B90D7F"/>
    <w:rsid w:val="00B92F4A"/>
    <w:rsid w:val="00BA6DDD"/>
    <w:rsid w:val="00BB334A"/>
    <w:rsid w:val="00BB38C7"/>
    <w:rsid w:val="00BC40BD"/>
    <w:rsid w:val="00C013B4"/>
    <w:rsid w:val="00C20EB5"/>
    <w:rsid w:val="00C326E9"/>
    <w:rsid w:val="00C35A0E"/>
    <w:rsid w:val="00C37237"/>
    <w:rsid w:val="00C435D0"/>
    <w:rsid w:val="00C44F87"/>
    <w:rsid w:val="00C55D18"/>
    <w:rsid w:val="00C55EEC"/>
    <w:rsid w:val="00C624E7"/>
    <w:rsid w:val="00C72F43"/>
    <w:rsid w:val="00C7580F"/>
    <w:rsid w:val="00C76F94"/>
    <w:rsid w:val="00C8689B"/>
    <w:rsid w:val="00C9060F"/>
    <w:rsid w:val="00C90826"/>
    <w:rsid w:val="00CA642B"/>
    <w:rsid w:val="00CB1CE2"/>
    <w:rsid w:val="00CB2428"/>
    <w:rsid w:val="00CB42B9"/>
    <w:rsid w:val="00CD0493"/>
    <w:rsid w:val="00CD1981"/>
    <w:rsid w:val="00CF4833"/>
    <w:rsid w:val="00CF4FE2"/>
    <w:rsid w:val="00D0610A"/>
    <w:rsid w:val="00D070F0"/>
    <w:rsid w:val="00D12800"/>
    <w:rsid w:val="00D15E47"/>
    <w:rsid w:val="00D16ECF"/>
    <w:rsid w:val="00D20D4C"/>
    <w:rsid w:val="00D45454"/>
    <w:rsid w:val="00D54055"/>
    <w:rsid w:val="00D5685D"/>
    <w:rsid w:val="00D61BF5"/>
    <w:rsid w:val="00D9159B"/>
    <w:rsid w:val="00D92882"/>
    <w:rsid w:val="00D93A65"/>
    <w:rsid w:val="00DA0AB9"/>
    <w:rsid w:val="00DA43C1"/>
    <w:rsid w:val="00DC3690"/>
    <w:rsid w:val="00DD193D"/>
    <w:rsid w:val="00DD69A3"/>
    <w:rsid w:val="00DE1C90"/>
    <w:rsid w:val="00E05759"/>
    <w:rsid w:val="00E06889"/>
    <w:rsid w:val="00E06942"/>
    <w:rsid w:val="00E111F8"/>
    <w:rsid w:val="00E14D8E"/>
    <w:rsid w:val="00E167EF"/>
    <w:rsid w:val="00E169A0"/>
    <w:rsid w:val="00E24DC6"/>
    <w:rsid w:val="00E30335"/>
    <w:rsid w:val="00E42CC5"/>
    <w:rsid w:val="00E531C2"/>
    <w:rsid w:val="00E53BDE"/>
    <w:rsid w:val="00E67313"/>
    <w:rsid w:val="00E70466"/>
    <w:rsid w:val="00E8198D"/>
    <w:rsid w:val="00EA2BD6"/>
    <w:rsid w:val="00EB0432"/>
    <w:rsid w:val="00EB3985"/>
    <w:rsid w:val="00EE6A56"/>
    <w:rsid w:val="00EE7BAD"/>
    <w:rsid w:val="00F00997"/>
    <w:rsid w:val="00F00B47"/>
    <w:rsid w:val="00F04C63"/>
    <w:rsid w:val="00F101BC"/>
    <w:rsid w:val="00F14B37"/>
    <w:rsid w:val="00F1629B"/>
    <w:rsid w:val="00F302FB"/>
    <w:rsid w:val="00F472D8"/>
    <w:rsid w:val="00F525BB"/>
    <w:rsid w:val="00F52FCA"/>
    <w:rsid w:val="00F608DD"/>
    <w:rsid w:val="00F618EF"/>
    <w:rsid w:val="00F733ED"/>
    <w:rsid w:val="00F76578"/>
    <w:rsid w:val="00F854F1"/>
    <w:rsid w:val="00F86534"/>
    <w:rsid w:val="00F86F66"/>
    <w:rsid w:val="00FB0D89"/>
    <w:rsid w:val="00FC0098"/>
    <w:rsid w:val="00FC00DE"/>
    <w:rsid w:val="00FC6067"/>
    <w:rsid w:val="00FD212B"/>
    <w:rsid w:val="00FD3ABA"/>
    <w:rsid w:val="00FD7E91"/>
    <w:rsid w:val="00FE16C8"/>
    <w:rsid w:val="00FE4918"/>
    <w:rsid w:val="00FF0514"/>
    <w:rsid w:val="00FF5890"/>
    <w:rsid w:val="016DDFFC"/>
    <w:rsid w:val="04472E21"/>
    <w:rsid w:val="0BD8C03F"/>
    <w:rsid w:val="0C2E4CFE"/>
    <w:rsid w:val="12865994"/>
    <w:rsid w:val="130F5B48"/>
    <w:rsid w:val="13352483"/>
    <w:rsid w:val="19651247"/>
    <w:rsid w:val="23876013"/>
    <w:rsid w:val="2DA39D04"/>
    <w:rsid w:val="2EB75078"/>
    <w:rsid w:val="2ED05D58"/>
    <w:rsid w:val="3456E38B"/>
    <w:rsid w:val="34B9CC6D"/>
    <w:rsid w:val="35636C6D"/>
    <w:rsid w:val="3B5AF3D8"/>
    <w:rsid w:val="3B7FB823"/>
    <w:rsid w:val="3BB40EEA"/>
    <w:rsid w:val="3BBEE2A3"/>
    <w:rsid w:val="3C88F9BF"/>
    <w:rsid w:val="40D0280F"/>
    <w:rsid w:val="436F9F15"/>
    <w:rsid w:val="4ABCE1A4"/>
    <w:rsid w:val="4E941F1C"/>
    <w:rsid w:val="4ED35806"/>
    <w:rsid w:val="52156FA3"/>
    <w:rsid w:val="56FFA7F5"/>
    <w:rsid w:val="5728306A"/>
    <w:rsid w:val="579F3276"/>
    <w:rsid w:val="59B4469D"/>
    <w:rsid w:val="5D7C3161"/>
    <w:rsid w:val="6268D3E6"/>
    <w:rsid w:val="62A2BDE2"/>
    <w:rsid w:val="68EE67CF"/>
    <w:rsid w:val="69158CFE"/>
    <w:rsid w:val="6C25F78E"/>
    <w:rsid w:val="6E1EF26A"/>
    <w:rsid w:val="6E345814"/>
    <w:rsid w:val="6F111DC6"/>
    <w:rsid w:val="70119A3A"/>
    <w:rsid w:val="75908663"/>
    <w:rsid w:val="75B4544F"/>
    <w:rsid w:val="7726945C"/>
    <w:rsid w:val="780DC1F8"/>
    <w:rsid w:val="7C32B414"/>
    <w:rsid w:val="7F7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A4E286C"/>
  <w15:docId w15:val="{E0E9338B-E2BC-49D3-9DA6-CEA47303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471"/>
    <w:pPr>
      <w:numPr>
        <w:numId w:val="11"/>
      </w:numPr>
      <w:pBdr>
        <w:bottom w:val="single" w:sz="6" w:space="1" w:color="A50021"/>
      </w:pBdr>
      <w:autoSpaceDE w:val="0"/>
      <w:autoSpaceDN w:val="0"/>
      <w:adjustRightInd w:val="0"/>
      <w:spacing w:before="480" w:after="160"/>
      <w:jc w:val="both"/>
      <w:outlineLvl w:val="0"/>
    </w:pPr>
    <w:rPr>
      <w:rFonts w:ascii="Calibri" w:eastAsia="Calibri" w:hAnsi="Calibri" w:cs="ArialMT"/>
      <w:caps/>
      <w:color w:val="A50021"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9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71"/>
    </w:pPr>
    <w:rPr>
      <w:rFonts w:ascii="PMingLiU" w:eastAsia="PMingLiU" w:hAnsi="PMingLiU"/>
      <w:sz w:val="20"/>
      <w:szCs w:val="20"/>
    </w:rPr>
  </w:style>
  <w:style w:type="paragraph" w:customStyle="1" w:styleId="Titre11">
    <w:name w:val="Titre 11"/>
    <w:basedOn w:val="Normal"/>
    <w:uiPriority w:val="1"/>
    <w:qFormat/>
    <w:pPr>
      <w:spacing w:before="134"/>
      <w:ind w:left="1130"/>
      <w:outlineLvl w:val="1"/>
    </w:pPr>
    <w:rPr>
      <w:rFonts w:ascii="Tahoma" w:eastAsia="Tahoma" w:hAnsi="Tahoma"/>
      <w:sz w:val="28"/>
      <w:szCs w:val="28"/>
    </w:rPr>
  </w:style>
  <w:style w:type="paragraph" w:customStyle="1" w:styleId="Titre21">
    <w:name w:val="Titre 21"/>
    <w:basedOn w:val="Normal"/>
    <w:uiPriority w:val="1"/>
    <w:qFormat/>
    <w:pPr>
      <w:ind w:left="20"/>
      <w:outlineLvl w:val="2"/>
    </w:pPr>
    <w:rPr>
      <w:rFonts w:ascii="Tahoma" w:eastAsia="Tahoma" w:hAnsi="Tahoma"/>
      <w:b/>
      <w:bCs/>
      <w:sz w:val="24"/>
      <w:szCs w:val="24"/>
    </w:rPr>
  </w:style>
  <w:style w:type="paragraph" w:customStyle="1" w:styleId="Titre31">
    <w:name w:val="Titre 31"/>
    <w:basedOn w:val="Normal"/>
    <w:uiPriority w:val="1"/>
    <w:qFormat/>
    <w:pPr>
      <w:spacing w:before="174"/>
      <w:ind w:left="1336" w:hanging="287"/>
      <w:outlineLvl w:val="3"/>
    </w:pPr>
    <w:rPr>
      <w:rFonts w:ascii="Tahoma" w:eastAsia="Tahoma" w:hAnsi="Tahoma"/>
      <w:sz w:val="24"/>
      <w:szCs w:val="24"/>
    </w:rPr>
  </w:style>
  <w:style w:type="paragraph" w:customStyle="1" w:styleId="Titre41">
    <w:name w:val="Titre 41"/>
    <w:basedOn w:val="Normal"/>
    <w:uiPriority w:val="1"/>
    <w:qFormat/>
    <w:pPr>
      <w:ind w:left="113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77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1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447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717"/>
  </w:style>
  <w:style w:type="paragraph" w:styleId="Footer">
    <w:name w:val="footer"/>
    <w:basedOn w:val="Normal"/>
    <w:link w:val="FooterChar"/>
    <w:uiPriority w:val="99"/>
    <w:unhideWhenUsed/>
    <w:rsid w:val="00447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717"/>
  </w:style>
  <w:style w:type="table" w:styleId="TableGrid">
    <w:name w:val="Table Grid"/>
    <w:basedOn w:val="TableNormal"/>
    <w:uiPriority w:val="39"/>
    <w:rsid w:val="002A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83D15"/>
  </w:style>
  <w:style w:type="paragraph" w:styleId="FootnoteText">
    <w:name w:val="footnote text"/>
    <w:basedOn w:val="Normal"/>
    <w:link w:val="FootnoteTextChar"/>
    <w:uiPriority w:val="99"/>
    <w:unhideWhenUsed/>
    <w:rsid w:val="00606B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6B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06B2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6B2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5EEC"/>
    <w:rPr>
      <w:color w:val="808080"/>
      <w:shd w:val="clear" w:color="auto" w:fill="E6E6E6"/>
    </w:rPr>
  </w:style>
  <w:style w:type="paragraph" w:customStyle="1" w:styleId="ColorfulShading-Accent31">
    <w:name w:val="Colorful Shading - Accent 31"/>
    <w:aliases w:val="Liste à puces retrait droite"/>
    <w:basedOn w:val="Normal"/>
    <w:uiPriority w:val="34"/>
    <w:qFormat/>
    <w:rsid w:val="001D5D6D"/>
    <w:pPr>
      <w:widowControl/>
      <w:ind w:left="720"/>
      <w:contextualSpacing/>
    </w:pPr>
    <w:rPr>
      <w:rFonts w:ascii="Cambria" w:eastAsia="MS Mincho" w:hAnsi="Cambria" w:cs="Times New Roman"/>
      <w:sz w:val="24"/>
      <w:szCs w:val="24"/>
      <w:lang w:val="fr-BE"/>
    </w:rPr>
  </w:style>
  <w:style w:type="paragraph" w:styleId="NoSpacing">
    <w:name w:val="No Spacing"/>
    <w:uiPriority w:val="1"/>
    <w:qFormat/>
    <w:rsid w:val="001D5D6D"/>
    <w:pPr>
      <w:widowControl/>
    </w:pPr>
    <w:rPr>
      <w:rFonts w:eastAsiaTheme="minorEastAsia"/>
      <w:sz w:val="24"/>
      <w:szCs w:val="24"/>
      <w:lang w:val="fr-BE"/>
    </w:rPr>
  </w:style>
  <w:style w:type="character" w:customStyle="1" w:styleId="Heading1Char">
    <w:name w:val="Heading 1 Char"/>
    <w:basedOn w:val="DefaultParagraphFont"/>
    <w:link w:val="Heading1"/>
    <w:uiPriority w:val="9"/>
    <w:rsid w:val="00A01471"/>
    <w:rPr>
      <w:rFonts w:ascii="Calibri" w:eastAsia="Calibri" w:hAnsi="Calibri" w:cs="ArialMT"/>
      <w:caps/>
      <w:color w:val="A50021"/>
      <w:sz w:val="24"/>
      <w:lang w:val="en-GB"/>
    </w:rPr>
  </w:style>
  <w:style w:type="paragraph" w:customStyle="1" w:styleId="Default">
    <w:name w:val="Default"/>
    <w:rsid w:val="009741AB"/>
    <w:pPr>
      <w:widowControl/>
      <w:autoSpaceDE w:val="0"/>
      <w:autoSpaceDN w:val="0"/>
      <w:adjustRightInd w:val="0"/>
    </w:pPr>
    <w:rPr>
      <w:rFonts w:ascii="Candara" w:eastAsia="Times New Roman" w:hAnsi="Candara" w:cs="Candara"/>
      <w:color w:val="000000"/>
      <w:sz w:val="24"/>
      <w:szCs w:val="24"/>
      <w:lang w:val="fr-BE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794D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4EF1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183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9C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729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29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ev.e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eev@ceev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cio\CEEV\CEEV-Files%20-%20Documents\01%20General\F.%20Presse\Press%20Releases%20CEEV\2024\2024.05.14%20Manifesto\CEEV-PR%20CEEV%202024%20Manifesto%20on%20the%20future%20of%20the%20EU%20wine%20sector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6273f-553f-4a75-a05e-04d628061e19" xsi:nil="true"/>
    <lcf76f155ced4ddcb4097134ff3c332f xmlns="5295519b-9ccc-42cf-9fe6-3689440366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D3C7A2EDA8C4690C6B00C27556E2F" ma:contentTypeVersion="18" ma:contentTypeDescription="Crée un document." ma:contentTypeScope="" ma:versionID="bd13c29190988c91c84a862ee6555976">
  <xsd:schema xmlns:xsd="http://www.w3.org/2001/XMLSchema" xmlns:xs="http://www.w3.org/2001/XMLSchema" xmlns:p="http://schemas.microsoft.com/office/2006/metadata/properties" xmlns:ns2="5295519b-9ccc-42cf-9fe6-368944036629" xmlns:ns3="eca6273f-553f-4a75-a05e-04d628061e19" targetNamespace="http://schemas.microsoft.com/office/2006/metadata/properties" ma:root="true" ma:fieldsID="270f31b85fb55aa8705cf084ac789200" ns2:_="" ns3:_="">
    <xsd:import namespace="5295519b-9ccc-42cf-9fe6-368944036629"/>
    <xsd:import namespace="eca6273f-553f-4a75-a05e-04d628061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519b-9ccc-42cf-9fe6-368944036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6b5849d-4539-465a-9044-fb86e6cc6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6273f-553f-4a75-a05e-04d628061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ed2c6a-b59f-40bd-9042-50d20aec6e24}" ma:internalName="TaxCatchAll" ma:showField="CatchAllData" ma:web="eca6273f-553f-4a75-a05e-04d628061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6E1E8-E1C3-47CB-B876-A70B733CC7C0}">
  <ds:schemaRefs>
    <ds:schemaRef ds:uri="http://schemas.microsoft.com/office/2006/metadata/properties"/>
    <ds:schemaRef ds:uri="http://schemas.microsoft.com/office/infopath/2007/PartnerControls"/>
    <ds:schemaRef ds:uri="eca6273f-553f-4a75-a05e-04d628061e19"/>
    <ds:schemaRef ds:uri="5295519b-9ccc-42cf-9fe6-368944036629"/>
  </ds:schemaRefs>
</ds:datastoreItem>
</file>

<file path=customXml/itemProps2.xml><?xml version="1.0" encoding="utf-8"?>
<ds:datastoreItem xmlns:ds="http://schemas.openxmlformats.org/officeDocument/2006/customXml" ds:itemID="{24A484FD-CC34-414F-A82D-845DEA3C4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5519b-9ccc-42cf-9fe6-368944036629"/>
    <ds:schemaRef ds:uri="eca6273f-553f-4a75-a05e-04d62806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FEBD2-E3BC-442D-82E7-67CA2CE29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CEEV-PR CEEV 2024 Manifesto on the future of the EU wine sector_v2</Template>
  <TotalTime>0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YFG106 part1 FR c</vt:lpstr>
    </vt:vector>
  </TitlesOfParts>
  <Company>CEEV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YFG106 part1 FR c</dc:title>
  <dc:creator>Julie Bouveret;gducceschi@ceev.eu</dc:creator>
  <cp:lastModifiedBy>Ignacio Sanchez Recarte</cp:lastModifiedBy>
  <cp:revision>7</cp:revision>
  <cp:lastPrinted>2024-12-05T11:15:00Z</cp:lastPrinted>
  <dcterms:created xsi:type="dcterms:W3CDTF">2026-03-24T10:50:00Z</dcterms:created>
  <dcterms:modified xsi:type="dcterms:W3CDTF">2026-03-24T11:43:00Z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Creator">
    <vt:lpwstr>QuarkXPress: pictwpstops filter 1.0</vt:lpwstr>
  </property>
  <property fmtid="{D5CDD505-2E9C-101B-9397-08002B2CF9AE}" pid="4" name="LastSaved">
    <vt:filetime>2015-12-18T00:00:00Z</vt:filetime>
  </property>
  <property fmtid="{D5CDD505-2E9C-101B-9397-08002B2CF9AE}" pid="5" name="ContentTypeId">
    <vt:lpwstr>0x010100565D3C7A2EDA8C4690C6B00C27556E2F</vt:lpwstr>
  </property>
  <property fmtid="{D5CDD505-2E9C-101B-9397-08002B2CF9AE}" pid="6" name="MediaServiceImageTags">
    <vt:lpwstr/>
  </property>
  <property fmtid="{D5CDD505-2E9C-101B-9397-08002B2CF9AE}" pid="7" name="GrammarlyDocumentId">
    <vt:lpwstr>a20504b487e8c0af5d86493a23db7eac609e10f65ab6b8505688c71b1f702503</vt:lpwstr>
  </property>
</Properties>
</file>